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FF47" w14:textId="35392666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</w:p>
    <w:p w14:paraId="50ED1D7C" w14:textId="355DD984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UCHWAŁA NR </w:t>
      </w:r>
      <w:r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>/2024</w:t>
      </w:r>
    </w:p>
    <w:p w14:paraId="3390FDF5" w14:textId="77777777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STAROGARD GDAŃSKI</w:t>
      </w:r>
    </w:p>
    <w:p w14:paraId="5C6B66A9" w14:textId="77777777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4E4640" w14:textId="75361CE1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2024 r.</w:t>
      </w:r>
    </w:p>
    <w:p w14:paraId="18E9CB76" w14:textId="77777777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C2F28E9" w14:textId="77777777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wieloletniej prognozy finansowej Gminy Starogard Gdański na lata 2024 - 2033</w:t>
      </w:r>
    </w:p>
    <w:p w14:paraId="18415195" w14:textId="77777777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CE379ED" w14:textId="7B4A9644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 pkt 15 ustawy z dnia 8 marca 1990 r. o samorządzie gminnym (Dz. U. z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</w:rPr>
        <w:t xml:space="preserve">) oraz art. 226 ust. 1, 2a i 3, art. 227 ust. 1 i 2, art. 228 ust. 1, art. 229, art. 231 ust. 1 i 2 ustawy z dnia 27 sierpnia 2009 roku o finansach publicznych (Dz. U. z 2023 r. poz. 1270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oraz art. 111 ustawy z dnia 12 marca 2022 roku o pomocy obywatelom Ukrainy w związku z konfliktem zbrojnym na terytorium tego państwa (Dz. U. z 2023 r. poz. 103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zmianami), uchwala się co następuje:</w:t>
      </w:r>
    </w:p>
    <w:p w14:paraId="5DC946CC" w14:textId="77777777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ADE7D0" w14:textId="77777777" w:rsidR="00E0092D" w:rsidRDefault="00E0092D" w:rsidP="00E0092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 W Uchwale  Nr LXII/752/2023 Rady Gminy Starogard Gdański z dnia 21 grudnia 2023 r. w sprawie wieloletniej prognozy finansowej gminy Starogard Gdański na lata 2024 - 2033 wprowadza się następujące zmiany:</w:t>
      </w:r>
    </w:p>
    <w:p w14:paraId="63A2D906" w14:textId="77777777" w:rsidR="00E0092D" w:rsidRDefault="00E0092D" w:rsidP="00E0092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6C9970" w14:textId="77777777" w:rsidR="00E0092D" w:rsidRDefault="00E0092D" w:rsidP="00E0092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Wieloletnia prognoza finansowa Gminy Starogard Gdański stanowiąca załącznik nr 1 do zmienianej uchwały otrzymuje nowe brzmienie jak w załączniku nr 1 do niniejszej uchwały.</w:t>
      </w:r>
    </w:p>
    <w:p w14:paraId="56474ADB" w14:textId="77777777" w:rsidR="00E0092D" w:rsidRDefault="00E0092D" w:rsidP="00E0092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planowanych i realizowanych przedsięwzięć stanowiący załącznik nr 2 do zmienianej uchwały otrzymuje nowe brzmienie jak w załączniku nr 2 do niniejszej uchwały.</w:t>
      </w:r>
    </w:p>
    <w:p w14:paraId="080FA66D" w14:textId="77777777" w:rsidR="00E0092D" w:rsidRDefault="00E0092D" w:rsidP="00E0092D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706888" w14:textId="6F54C88B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  Uchwała wchodzi w życie z dniem 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2024 r.</w:t>
      </w:r>
    </w:p>
    <w:p w14:paraId="02670772" w14:textId="77777777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5955251" w14:textId="77777777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C83C639" w14:textId="333FC681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Rady Gminy</w:t>
      </w:r>
    </w:p>
    <w:p w14:paraId="36582630" w14:textId="77777777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6EBDE317" w14:textId="68539FAE" w:rsidR="00E0092D" w:rsidRDefault="00E0092D" w:rsidP="00E00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Marcin Hinca</w:t>
      </w:r>
    </w:p>
    <w:p w14:paraId="7304ACAB" w14:textId="77777777" w:rsidR="007C7B74" w:rsidRDefault="007C7B74"/>
    <w:sectPr w:rsidR="007C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888103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2E"/>
    <w:rsid w:val="005137A7"/>
    <w:rsid w:val="00604A2E"/>
    <w:rsid w:val="007C7B74"/>
    <w:rsid w:val="00E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DF38"/>
  <w15:chartTrackingRefBased/>
  <w15:docId w15:val="{50B2F0F2-F403-46C2-865C-C5C7ED9C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92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E.Sadowska</dc:creator>
  <cp:keywords/>
  <dc:description/>
  <cp:lastModifiedBy>Elżbieta Sadowska</cp:lastModifiedBy>
  <cp:revision>2</cp:revision>
  <dcterms:created xsi:type="dcterms:W3CDTF">2024-05-16T08:12:00Z</dcterms:created>
  <dcterms:modified xsi:type="dcterms:W3CDTF">2024-05-16T08:14:00Z</dcterms:modified>
</cp:coreProperties>
</file>