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892" w:rsidRPr="00B24892" w:rsidRDefault="00B24892" w:rsidP="00B2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B24892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B24892" w:rsidRPr="00B24892" w:rsidRDefault="00B24892" w:rsidP="00B2489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z dnia 7 maja 2024 r.</w:t>
      </w:r>
    </w:p>
    <w:p w:rsidR="00B24892" w:rsidRPr="00B24892" w:rsidRDefault="00B24892" w:rsidP="00B2489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t>w sprawie ustalenia wynagrodzenia Wójta Gminy Starogard Gdański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Na podstawie art. 18 ust. 2 pkt 2 ustawy z dnia 8 marca 1990 r. o samorz</w:t>
      </w:r>
      <w:r>
        <w:rPr>
          <w:rFonts w:ascii="Times New Roman" w:eastAsia="Times New Roman" w:hAnsi="Times New Roman" w:cs="Times New Roman"/>
          <w:lang w:eastAsia="pl-PL"/>
        </w:rPr>
        <w:t>ądzie gminnym (Dz. U. z 2024 r.</w:t>
      </w:r>
      <w:bookmarkStart w:id="0" w:name="_GoBack"/>
      <w:bookmarkEnd w:id="0"/>
      <w:r w:rsidRPr="00B24892">
        <w:rPr>
          <w:rFonts w:ascii="Times New Roman" w:eastAsia="Times New Roman" w:hAnsi="Times New Roman" w:cs="Times New Roman"/>
          <w:lang w:eastAsia="pl-PL"/>
        </w:rPr>
        <w:t xml:space="preserve"> poz. 609), art. 8 ust. 2, art. 36 ust. 2,3,4, art. 37 ust. 3 i 4 i art. 38 ust. 1 ustawy z dnia 21 listopada 2008 r. o pracownikach samorządowych (Dz.U. z 2022 r., poz. 530) § 3 pkt 1 i § 6 Rozporządzenia Rady Ministrów z dnia 25 października 2021 r. w sprawie wynagradzania pracowników samorządowych (Dz.U. z 2021 r., poz. 1960) uchwala się, co następuje: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24892">
        <w:rPr>
          <w:rFonts w:ascii="Times New Roman" w:eastAsia="Times New Roman" w:hAnsi="Times New Roman" w:cs="Times New Roman"/>
          <w:lang w:eastAsia="pl-PL"/>
        </w:rPr>
        <w:t>1. Ustala się miesięczne wynagrodzenie Wójta Gminy Starogard Gdański w następującej wysokości: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1) Wynagrodzenie zasadnicze 10.430,00 zł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2) Dodatek funkcyjny 3.450,00 zł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3) Dodatek specjalny 4.164,00 zł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t>Razem: 18.044,00 zł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2. </w:t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Wójtowi Gminy Starogard Gdański przysługuje również dodatek za wieloletnią pracę zgodnie z obowiązującymi przepisami.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Traci moc uchwała nr XXXVIII/461/2021 Rady Gminy Starogard Gdański z dnia 25 listopada 2021 r. w sprawie ustalenia wynagrodzenia Wójta Gminy Starogard Gdański.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7 maja 2024r.</w:t>
      </w:r>
    </w:p>
    <w:p w:rsidR="00B24892" w:rsidRPr="00B24892" w:rsidRDefault="00B24892" w:rsidP="00B2489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B24892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24892" w:rsidRPr="00B24892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  <w:p w:rsidR="00B24892" w:rsidRPr="00B24892" w:rsidRDefault="00B24892" w:rsidP="00B24892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  <w:r w:rsidRPr="00B24892">
              <w:rPr>
                <w:color w:val="000000"/>
                <w:u w:color="000000"/>
              </w:rPr>
              <w:fldChar w:fldCharType="begin"/>
            </w:r>
            <w:r w:rsidRPr="00B24892">
              <w:rPr>
                <w:color w:val="000000"/>
                <w:u w:color="000000"/>
              </w:rPr>
              <w:instrText>MANUALLY_FORMATTED_SIGNATURE_0_1_</w:instrText>
            </w:r>
            <w:r w:rsidRPr="00B24892">
              <w:rPr>
                <w:color w:val="000000"/>
                <w:u w:color="000000"/>
              </w:rPr>
              <w:fldChar w:fldCharType="end"/>
            </w:r>
            <w:r w:rsidRPr="00B24892">
              <w:rPr>
                <w:color w:val="000000"/>
                <w:u w:color="000000"/>
              </w:rPr>
              <w:t>Przewodniczący Rady Gminy</w:t>
            </w: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Default="00B24892" w:rsidP="00B24892">
            <w:pPr>
              <w:keepLines/>
              <w:spacing w:before="120" w:after="120"/>
              <w:jc w:val="center"/>
              <w:rPr>
                <w:color w:val="000000"/>
                <w:u w:color="000000"/>
              </w:rPr>
            </w:pPr>
          </w:p>
          <w:p w:rsidR="00B24892" w:rsidRPr="00B24892" w:rsidRDefault="00B24892" w:rsidP="00B24892">
            <w:pPr>
              <w:keepLines/>
              <w:spacing w:before="120" w:after="120"/>
              <w:jc w:val="center"/>
              <w:rPr>
                <w:color w:val="000000"/>
              </w:rPr>
            </w:pPr>
          </w:p>
          <w:p w:rsidR="00B24892" w:rsidRPr="00B24892" w:rsidRDefault="00B24892" w:rsidP="00B24892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24892">
              <w:rPr>
                <w:color w:val="000000"/>
                <w:u w:color="000000"/>
              </w:rPr>
              <w:t xml:space="preserve"> </w:t>
            </w:r>
          </w:p>
        </w:tc>
      </w:tr>
    </w:tbl>
    <w:p w:rsidR="00B24892" w:rsidRPr="00B24892" w:rsidRDefault="00B24892" w:rsidP="00B248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Zgodnie z ustawą o samorządzie gminnym do wyłącznej właściwości rady gminy należy m. in. ustalanie wynagrodzenia wójta.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Ustawa o pracownikach samorządowych stanowi, że „Czynności z zakresu prawa pracy wobec wójta (burmistrza, prezydenta miasta), związane z nawiązaniem i rozwiązaniem stosunku pracy, wykonuje przewodniczący rady gminy, a pozostałe czynności – wyznaczona przez wójta (burmistrza, prezydenta miasta) osoba zastępująca lub sekretarz gminy, z tym że wynagrodzenie wójta ustala rada gminy, w drodze uchwały”. Maksymalne wynagrodzenie wójta nie może przekroczyć 20 041,50 zł brutto, a minimalne wynagrodzenie, zgodnie z treścią przepisu art. 37 ust. 4 ustawy o pracownikach samorządowych wynosi 14.435,20 zł. Maksymalne wynagrodzenie zasadnicze wynosi 10.430,00 zł, a maksymalny dodatek funkcyjny wynosi 3.450,00 zł. Minimalne wynagrodzenie zasadnicze wynosi 8.344,00 zł a minimalny dodatek funkcyjny wynosi 2.760,00 zł.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Zgodnie z Rozporządzeniem w sprawie wynagradzania pracowników samorządowych, dodatek specjalny przysługuje w kwocie wynoszącej 30% łącznie wynagrodzenia zasadniczego i dodatku funkcyjnego.</w:t>
      </w:r>
    </w:p>
    <w:p w:rsidR="00B24892" w:rsidRPr="00B24892" w:rsidRDefault="00B24892" w:rsidP="00B24892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24892">
        <w:rPr>
          <w:rFonts w:ascii="Times New Roman" w:eastAsia="Times New Roman" w:hAnsi="Times New Roman" w:cs="Times New Roman"/>
          <w:lang w:eastAsia="pl-PL"/>
        </w:rPr>
        <w:t>Dodatek za wieloletnią pracę przysługuje po 5 latach pracy w wysokości wynoszącej 5% miesięcznego wynagrodzenia zasadniczego. Dodatek ten wzrasta o 1% za każdy dalszy rok pracy aż do osiągnięcia 20% miesięcznego wynagrodzenia zasadniczego.</w:t>
      </w:r>
    </w:p>
    <w:p w:rsidR="00CE3C31" w:rsidRDefault="00B24892" w:rsidP="00B24892">
      <w:r w:rsidRPr="00B24892">
        <w:rPr>
          <w:rFonts w:ascii="Times New Roman" w:eastAsia="Times New Roman" w:hAnsi="Times New Roman" w:cs="Times New Roman"/>
          <w:lang w:eastAsia="pl-PL"/>
        </w:rPr>
        <w:t>Mając na uwadze powyższe, podjęcie niniejszej uchwały, uznać należy za uzasadnione.</w:t>
      </w:r>
    </w:p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92"/>
    <w:rsid w:val="00562E95"/>
    <w:rsid w:val="00B24892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94AD"/>
  <w15:chartTrackingRefBased/>
  <w15:docId w15:val="{1C80BFB8-15BA-45FF-A24D-83F588B9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248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2024-05-06T14:09:00Z</dcterms:created>
  <dcterms:modified xsi:type="dcterms:W3CDTF">2024-05-06T14:10:00Z</dcterms:modified>
</cp:coreProperties>
</file>